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B1" w:rsidRPr="003E28B1" w:rsidRDefault="003E28B1" w:rsidP="003E28B1">
      <w:pPr>
        <w:spacing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Sotsialiseerumisprotsess </w:t>
      </w:r>
      <w:r w:rsidRPr="003E28B1">
        <w:rPr>
          <w:rFonts w:ascii="Times New Roman" w:hAnsi="Times New Roman" w:cs="Times New Roman"/>
          <w:snapToGrid w:val="0"/>
          <w:sz w:val="24"/>
          <w:szCs w:val="24"/>
        </w:rPr>
        <w:t>(</w:t>
      </w:r>
      <w:hyperlink r:id="rId6" w:history="1">
        <w:r w:rsidRPr="003E28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B. B. Hess</w:t>
        </w:r>
      </w:hyperlink>
      <w:r w:rsidRPr="003E28B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history="1">
        <w:r w:rsidRPr="003E28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E. W. Markson</w:t>
        </w:r>
      </w:hyperlink>
      <w:r w:rsidRPr="003E28B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history="1">
        <w:r w:rsidRPr="003E28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P. J. Stein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1E4558">
        <w:rPr>
          <w:rFonts w:ascii="Times New Roman" w:hAnsi="Times New Roman" w:cs="Times New Roman"/>
          <w:sz w:val="24"/>
          <w:szCs w:val="24"/>
        </w:rPr>
        <w:t xml:space="preserve"> 2000,</w:t>
      </w:r>
      <w:r>
        <w:rPr>
          <w:rFonts w:ascii="Times New Roman" w:hAnsi="Times New Roman" w:cs="Times New Roman"/>
          <w:sz w:val="24"/>
          <w:szCs w:val="24"/>
        </w:rPr>
        <w:t xml:space="preserve"> lk 71-72)</w:t>
      </w:r>
    </w:p>
    <w:p w:rsidR="00E165EB" w:rsidRDefault="00E165EB" w:rsidP="003E28B1">
      <w:pPr>
        <w:spacing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Kui inimesel on teatud sotsiaalne roll, siis see eeldab rolli jaoks </w:t>
      </w:r>
      <w:r w:rsidRPr="001E455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vajaliku informatsiooni</w:t>
      </w:r>
      <w:r w:rsidR="00044250" w:rsidRPr="001E455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="00840750" w:rsidRPr="001E455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valdamist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ja </w:t>
      </w:r>
      <w:r w:rsidRPr="001E455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praktikate harjutamist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0138FE" w:rsidRDefault="000138FE" w:rsidP="003E28B1">
      <w:pPr>
        <w:spacing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Lapsi valmistatakse eluks ette juba lasteaias, neile antakse juhiseid selleks, kuidas sotsiaalses elus hakkama saada.</w:t>
      </w:r>
    </w:p>
    <w:p w:rsidR="000138FE" w:rsidRDefault="000138FE" w:rsidP="003E28B1">
      <w:pPr>
        <w:spacing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Mingi sotsiaalse rolli kohta teadmine ei tähenda veel seda, et praktikas sotsiaalse rolliga hakkama saadakse.  Rolli sisenenutel peab olema </w:t>
      </w:r>
      <w:r w:rsidRPr="001E4558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võimalus harjutada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(nt pulmareis värsketel abiellunutel)</w:t>
      </w:r>
      <w:r w:rsidR="00980AC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rolliga seotud tegevusi. Enamus tegevusi õnnestuvad tänu harjutamisele. </w:t>
      </w:r>
    </w:p>
    <w:p w:rsidR="001F2498" w:rsidRDefault="00EB0401" w:rsidP="003E28B1">
      <w:pPr>
        <w:spacing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Antisipat</w:t>
      </w:r>
      <w:r w:rsidR="001F2498" w:rsidRPr="00A97F7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oorseks sotsialiseerumiseks</w:t>
      </w:r>
      <w:r w:rsidR="001F249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nimetatakse olukorda, milles toimub rollimäng, nt lapsed mänivad so</w:t>
      </w:r>
      <w:r w:rsidR="001E4558">
        <w:rPr>
          <w:rFonts w:ascii="Times New Roman" w:hAnsi="Times New Roman" w:cs="Times New Roman"/>
          <w:snapToGrid w:val="0"/>
          <w:color w:val="000000"/>
          <w:sz w:val="24"/>
          <w:szCs w:val="24"/>
        </w:rPr>
        <w:t>orollimänge või kui gümnasistid</w:t>
      </w:r>
      <w:r w:rsidR="001F249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hakkavad käituma üliõpilastena. Antisipatroorse sotsialiseerumise korral toimub suuresti </w:t>
      </w:r>
      <w:r w:rsidR="001F2498" w:rsidRPr="0084075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rolli matkimine</w:t>
      </w:r>
      <w:r w:rsidR="001F249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(nt laste rollieeskujuks on mõni tuntud sportlane või fil</w:t>
      </w:r>
      <w:r w:rsidR="00840750">
        <w:rPr>
          <w:rFonts w:ascii="Times New Roman" w:hAnsi="Times New Roman" w:cs="Times New Roman"/>
          <w:snapToGrid w:val="0"/>
          <w:color w:val="000000"/>
          <w:sz w:val="24"/>
          <w:szCs w:val="24"/>
        </w:rPr>
        <w:t>m</w:t>
      </w:r>
      <w:r w:rsidR="001F2498">
        <w:rPr>
          <w:rFonts w:ascii="Times New Roman" w:hAnsi="Times New Roman" w:cs="Times New Roman"/>
          <w:snapToGrid w:val="0"/>
          <w:color w:val="000000"/>
          <w:sz w:val="24"/>
          <w:szCs w:val="24"/>
        </w:rPr>
        <w:t>istaar).</w:t>
      </w:r>
    </w:p>
    <w:p w:rsidR="00840750" w:rsidRDefault="00840750" w:rsidP="003E28B1">
      <w:pPr>
        <w:spacing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Kuna rolliesitused toimuvad rollipartneritest vaatajaskonna ees, siis saavad nad anda </w:t>
      </w:r>
      <w:r w:rsidRPr="00840750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tagasisidet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rolli täitmise kohta. Sanktsioonideks on nende positiivsed reageeringud hästi esitatud rollile või negatiivne kriitika. Sõltuvalt s</w:t>
      </w:r>
      <w:r w:rsidR="001E4558">
        <w:rPr>
          <w:rFonts w:ascii="Times New Roman" w:hAnsi="Times New Roman" w:cs="Times New Roman"/>
          <w:snapToGrid w:val="0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nktsioonide edastajast muudavad inimesed s</w:t>
      </w:r>
      <w:r w:rsidR="001E4558">
        <w:rPr>
          <w:rFonts w:ascii="Times New Roman" w:hAnsi="Times New Roman" w:cs="Times New Roman"/>
          <w:snapToGrid w:val="0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nktsioonide tulemusena oma käitumist selliselt, et edaspidi saada positiivset tagasisidet.</w:t>
      </w:r>
    </w:p>
    <w:p w:rsidR="00840750" w:rsidRDefault="00840750" w:rsidP="003E28B1">
      <w:pPr>
        <w:spacing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Rollitäitmise edukus võib tihti sõltuda sellest, kas leidub inimesi, kes viitsivad vaeva näha ja rollitäitjat õpetada. </w:t>
      </w:r>
      <w:r w:rsidR="001229F1" w:rsidRPr="001229F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Sotsiaalsel toetusel</w:t>
      </w:r>
      <w:r w:rsidR="001229F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on suur mõju rollitäitmise edukusele. Palju toetavaid sõpru omavad inimesed kohanevad rollimuutustega paremini kui need, kes ennast isoleerivad.</w:t>
      </w:r>
    </w:p>
    <w:p w:rsidR="003E28B1" w:rsidRDefault="003E28B1" w:rsidP="003E28B1">
      <w:pPr>
        <w:spacing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3E28B1" w:rsidRPr="00E165EB" w:rsidRDefault="003E28B1" w:rsidP="003E28B1">
      <w:pPr>
        <w:spacing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K</w:t>
      </w:r>
      <w:r w:rsidRPr="00E165E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ultuuriline mõju sotsialiseerumisele</w:t>
      </w:r>
    </w:p>
    <w:p w:rsidR="003E28B1" w:rsidRDefault="001229F1" w:rsidP="003E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Sotsialiseerumisprotsessile avladab kahtlemata suurt mõju kultuur, milles sotsialiseerumine aset leiab. Mõned kultuurid rõhutavad individualismi, teised aga inimese vastutust grupi ning ühiskonna ees. Enamikus kultuurides on soovitavad naissoo isikujooned meestest erinevad. </w:t>
      </w:r>
      <w:r w:rsidR="003E28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Ka on laste soovitavad iseloomujooned erinevad teismeliste ja täiskasvanute omadest, mis on täiesti erinev sellest, millist käitumist oodatakse eakamatelt inimestelt. </w:t>
      </w:r>
      <w:r w:rsidR="003E28B1" w:rsidRPr="003E28B1">
        <w:rPr>
          <w:rFonts w:ascii="Times New Roman" w:hAnsi="Times New Roman" w:cs="Times New Roman"/>
          <w:snapToGrid w:val="0"/>
          <w:sz w:val="24"/>
          <w:szCs w:val="24"/>
        </w:rPr>
        <w:t>(</w:t>
      </w:r>
      <w:hyperlink r:id="rId9" w:history="1">
        <w:r w:rsidR="003E28B1" w:rsidRPr="003E28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B. B. Hess</w:t>
        </w:r>
      </w:hyperlink>
      <w:r w:rsidR="003E28B1" w:rsidRPr="003E28B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history="1">
        <w:r w:rsidR="003E28B1" w:rsidRPr="003E28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E. W. Markson</w:t>
        </w:r>
      </w:hyperlink>
      <w:r w:rsidR="003E28B1" w:rsidRPr="003E28B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history="1">
        <w:r w:rsidR="003E28B1" w:rsidRPr="003E28B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P. J. Stein</w:t>
        </w:r>
      </w:hyperlink>
      <w:r w:rsidR="003E28B1">
        <w:rPr>
          <w:rFonts w:ascii="Times New Roman" w:hAnsi="Times New Roman" w:cs="Times New Roman"/>
          <w:sz w:val="24"/>
          <w:szCs w:val="24"/>
        </w:rPr>
        <w:t>,</w:t>
      </w:r>
      <w:r w:rsidR="006A6358">
        <w:rPr>
          <w:rFonts w:ascii="Times New Roman" w:hAnsi="Times New Roman" w:cs="Times New Roman"/>
          <w:sz w:val="24"/>
          <w:szCs w:val="24"/>
        </w:rPr>
        <w:t xml:space="preserve"> 2000,</w:t>
      </w:r>
      <w:r w:rsidR="003E28B1">
        <w:rPr>
          <w:rFonts w:ascii="Times New Roman" w:hAnsi="Times New Roman" w:cs="Times New Roman"/>
          <w:sz w:val="24"/>
          <w:szCs w:val="24"/>
        </w:rPr>
        <w:t xml:space="preserve"> lk 84-85)</w:t>
      </w:r>
    </w:p>
    <w:p w:rsidR="003E28B1" w:rsidRDefault="003E28B1" w:rsidP="003E28B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Soorolli tuleb õppida (Berns, 2004). </w:t>
      </w:r>
      <w:r w:rsidRPr="003E28B1">
        <w:rPr>
          <w:rFonts w:ascii="Times New Roman" w:hAnsi="Times New Roman" w:cs="Times New Roman"/>
          <w:sz w:val="24"/>
          <w:szCs w:val="24"/>
        </w:rPr>
        <w:t>See, mida õpetada</w:t>
      </w:r>
      <w:r w:rsidR="00614429">
        <w:rPr>
          <w:rFonts w:ascii="Times New Roman" w:hAnsi="Times New Roman" w:cs="Times New Roman"/>
          <w:sz w:val="24"/>
          <w:szCs w:val="24"/>
        </w:rPr>
        <w:t xml:space="preserve"> poistele ja tüdrukutele</w:t>
      </w:r>
      <w:r w:rsidRPr="003E28B1">
        <w:rPr>
          <w:rFonts w:ascii="Times New Roman" w:hAnsi="Times New Roman" w:cs="Times New Roman"/>
          <w:sz w:val="24"/>
          <w:szCs w:val="24"/>
        </w:rPr>
        <w:t>, kujuneb välja konkreetses ühiskonnas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8B1">
        <w:rPr>
          <w:rFonts w:ascii="Times New Roman" w:hAnsi="Times New Roman" w:cs="Times New Roman"/>
          <w:bCs/>
          <w:sz w:val="24"/>
          <w:szCs w:val="24"/>
        </w:rPr>
        <w:t>Soorolli mõjutavad ühiskondlikud normid ja tabud, need suunavad käitumist (ka alateadlikult)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645B4" w:rsidRDefault="00614429" w:rsidP="001E4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Seega on sooroll</w:t>
      </w:r>
      <w:r w:rsidR="001E4558">
        <w:rPr>
          <w:rFonts w:ascii="Times New Roman" w:hAnsi="Times New Roman" w:cs="Times New Roman"/>
          <w:sz w:val="24"/>
          <w:szCs w:val="24"/>
        </w:rPr>
        <w:t xml:space="preserve"> </w:t>
      </w:r>
      <w:r w:rsidR="001E4558" w:rsidRPr="001E4558">
        <w:rPr>
          <w:rFonts w:ascii="Times New Roman" w:hAnsi="Times New Roman" w:cs="Times New Roman"/>
          <w:b/>
          <w:sz w:val="24"/>
          <w:szCs w:val="24"/>
        </w:rPr>
        <w:t>s</w:t>
      </w:r>
      <w:r w:rsidR="00BD376D" w:rsidRPr="001E4558">
        <w:rPr>
          <w:rFonts w:ascii="Times New Roman" w:hAnsi="Times New Roman" w:cs="Times New Roman"/>
          <w:b/>
          <w:sz w:val="24"/>
          <w:szCs w:val="24"/>
        </w:rPr>
        <w:t>otsiaalselt konstrueeritud</w:t>
      </w:r>
      <w:r w:rsidR="00BD376D" w:rsidRPr="001E4558">
        <w:rPr>
          <w:rFonts w:ascii="Times New Roman" w:hAnsi="Times New Roman" w:cs="Times New Roman"/>
          <w:sz w:val="24"/>
          <w:szCs w:val="24"/>
        </w:rPr>
        <w:t xml:space="preserve"> kate</w:t>
      </w:r>
      <w:r w:rsidR="001E4558">
        <w:rPr>
          <w:rFonts w:ascii="Times New Roman" w:hAnsi="Times New Roman" w:cs="Times New Roman"/>
          <w:sz w:val="24"/>
          <w:szCs w:val="24"/>
        </w:rPr>
        <w:t>gooria</w:t>
      </w:r>
    </w:p>
    <w:p w:rsidR="001E4558" w:rsidRDefault="001E4558" w:rsidP="001E45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376D" w:rsidRPr="001E4558">
        <w:rPr>
          <w:rFonts w:ascii="Times New Roman" w:hAnsi="Times New Roman" w:cs="Times New Roman"/>
          <w:sz w:val="24"/>
          <w:szCs w:val="24"/>
        </w:rPr>
        <w:t>Kohati</w:t>
      </w:r>
      <w:r w:rsidRPr="001E4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soorollid </w:t>
      </w:r>
      <w:r w:rsidRPr="001E4558">
        <w:rPr>
          <w:rFonts w:ascii="Times New Roman" w:hAnsi="Times New Roman" w:cs="Times New Roman"/>
          <w:sz w:val="24"/>
          <w:szCs w:val="24"/>
        </w:rPr>
        <w:t xml:space="preserve">jaotunud täiesti meelevaldselt - </w:t>
      </w:r>
      <w:r w:rsidR="00BD376D" w:rsidRPr="001E4558">
        <w:rPr>
          <w:rFonts w:ascii="Times New Roman" w:hAnsi="Times New Roman" w:cs="Times New Roman"/>
          <w:iCs/>
          <w:sz w:val="24"/>
          <w:szCs w:val="24"/>
        </w:rPr>
        <w:t>mõnes ühiskonnas karjatavad ainult mehed kitsi, teises ainult naised</w:t>
      </w:r>
      <w:r w:rsidRPr="001E4558">
        <w:rPr>
          <w:rFonts w:ascii="Times New Roman" w:hAnsi="Times New Roman" w:cs="Times New Roman"/>
          <w:sz w:val="24"/>
          <w:szCs w:val="24"/>
        </w:rPr>
        <w:t xml:space="preserve">, siin </w:t>
      </w:r>
      <w:r w:rsidR="00BD376D" w:rsidRPr="001E4558">
        <w:rPr>
          <w:rFonts w:ascii="Times New Roman" w:hAnsi="Times New Roman" w:cs="Times New Roman"/>
          <w:iCs/>
          <w:sz w:val="24"/>
          <w:szCs w:val="24"/>
        </w:rPr>
        <w:t>ei eksisteeri bioloogilist põhjust</w:t>
      </w:r>
      <w:r>
        <w:rPr>
          <w:rFonts w:ascii="Times New Roman" w:hAnsi="Times New Roman" w:cs="Times New Roman"/>
          <w:sz w:val="24"/>
          <w:szCs w:val="24"/>
        </w:rPr>
        <w:t>. E</w:t>
      </w:r>
      <w:r w:rsidR="00BD376D" w:rsidRPr="001E4558">
        <w:rPr>
          <w:rFonts w:ascii="Times New Roman" w:hAnsi="Times New Roman" w:cs="Times New Roman"/>
          <w:iCs/>
          <w:sz w:val="24"/>
          <w:szCs w:val="24"/>
        </w:rPr>
        <w:t xml:space="preserve">rinevus tuleb tavast, mis on </w:t>
      </w:r>
      <w:r w:rsidR="00BD376D" w:rsidRPr="001E4558">
        <w:rPr>
          <w:rFonts w:ascii="Times New Roman" w:hAnsi="Times New Roman" w:cs="Times New Roman"/>
          <w:bCs/>
          <w:iCs/>
          <w:sz w:val="24"/>
          <w:szCs w:val="24"/>
        </w:rPr>
        <w:t>sotsiaalne konstruktsioon</w:t>
      </w:r>
      <w:r w:rsidRPr="001E4558">
        <w:rPr>
          <w:rFonts w:ascii="Times New Roman" w:hAnsi="Times New Roman" w:cs="Times New Roman"/>
          <w:sz w:val="24"/>
          <w:szCs w:val="24"/>
        </w:rPr>
        <w:t xml:space="preserve">. Seda peaks saama põhimõtteliselt ümber hinnata või muuta. Näiteks </w:t>
      </w:r>
      <w:r w:rsidR="00BD376D" w:rsidRPr="001E4558">
        <w:rPr>
          <w:rFonts w:ascii="Times New Roman" w:hAnsi="Times New Roman" w:cs="Times New Roman"/>
          <w:bCs/>
          <w:sz w:val="24"/>
          <w:szCs w:val="24"/>
        </w:rPr>
        <w:t>sotsiaalpoliitika</w:t>
      </w:r>
      <w:r w:rsidR="00BD376D" w:rsidRPr="001E4558">
        <w:rPr>
          <w:rFonts w:ascii="Times New Roman" w:hAnsi="Times New Roman" w:cs="Times New Roman"/>
          <w:sz w:val="24"/>
          <w:szCs w:val="24"/>
        </w:rPr>
        <w:t xml:space="preserve"> kaudu:</w:t>
      </w:r>
      <w:r w:rsidRPr="001E4558">
        <w:rPr>
          <w:rFonts w:ascii="Times New Roman" w:hAnsi="Times New Roman" w:cs="Times New Roman"/>
          <w:sz w:val="24"/>
          <w:szCs w:val="24"/>
        </w:rPr>
        <w:t xml:space="preserve"> emaduspuhkuse asendamine „vanemapuhkusega“ – seda võib kasutada ükskõik kumb vanematest.</w:t>
      </w:r>
      <w:r>
        <w:rPr>
          <w:rFonts w:ascii="Times New Roman" w:hAnsi="Times New Roman" w:cs="Times New Roman"/>
          <w:sz w:val="24"/>
          <w:szCs w:val="24"/>
        </w:rPr>
        <w:t xml:space="preserve"> (Wolff, 2005)</w:t>
      </w:r>
    </w:p>
    <w:p w:rsidR="006A6358" w:rsidRDefault="006A6358" w:rsidP="001E4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 kultuuri õpitakse, peavad olema infokanalid, mille kaudu saadakse teadlikuks, mida rollitäitjalt oodatakse. Inimesi ja organistasioone, kelle ülesandeks on ühiskondlike normide ja vajalike rollide õpetamine, nimetatakse </w:t>
      </w:r>
      <w:r w:rsidRPr="006A6358">
        <w:rPr>
          <w:rFonts w:ascii="Times New Roman" w:hAnsi="Times New Roman" w:cs="Times New Roman"/>
          <w:b/>
          <w:sz w:val="24"/>
          <w:szCs w:val="24"/>
        </w:rPr>
        <w:t>sotsialiseerimise agentideks</w:t>
      </w:r>
      <w:r>
        <w:rPr>
          <w:rFonts w:ascii="Times New Roman" w:hAnsi="Times New Roman" w:cs="Times New Roman"/>
          <w:sz w:val="24"/>
          <w:szCs w:val="24"/>
        </w:rPr>
        <w:t xml:space="preserve">. Tähtsamad sotsialiseerimise agendid on vanemad, sõbrad, õpetajad. Neil kõigil on anda oma panus noore inimese sotsiaalsesse arengusse. </w:t>
      </w:r>
    </w:p>
    <w:p w:rsidR="001E4558" w:rsidRDefault="001E4558" w:rsidP="001E4558">
      <w:pPr>
        <w:rPr>
          <w:rFonts w:ascii="Times New Roman" w:hAnsi="Times New Roman" w:cs="Times New Roman"/>
          <w:sz w:val="24"/>
          <w:szCs w:val="24"/>
        </w:rPr>
      </w:pPr>
    </w:p>
    <w:p w:rsidR="001E4558" w:rsidRPr="008A65ED" w:rsidRDefault="001E4558" w:rsidP="001E4558">
      <w:pPr>
        <w:rPr>
          <w:rFonts w:ascii="Times New Roman" w:hAnsi="Times New Roman" w:cs="Times New Roman"/>
          <w:b/>
          <w:sz w:val="24"/>
          <w:szCs w:val="24"/>
        </w:rPr>
      </w:pPr>
      <w:r w:rsidRPr="008A65ED">
        <w:rPr>
          <w:rFonts w:ascii="Times New Roman" w:hAnsi="Times New Roman" w:cs="Times New Roman"/>
          <w:b/>
          <w:sz w:val="24"/>
          <w:szCs w:val="24"/>
        </w:rPr>
        <w:t>Kasutatud allikad</w:t>
      </w:r>
    </w:p>
    <w:p w:rsidR="001E4558" w:rsidRPr="00131F2B" w:rsidRDefault="00607805" w:rsidP="001E4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E4558" w:rsidRPr="001E45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B. B. Hess</w:t>
        </w:r>
      </w:hyperlink>
      <w:r w:rsidR="001E4558" w:rsidRPr="001E455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3" w:history="1">
        <w:r w:rsidR="001E4558" w:rsidRPr="001E45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E. W. Markson</w:t>
        </w:r>
      </w:hyperlink>
      <w:r w:rsidR="001E4558" w:rsidRPr="001E455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4" w:history="1">
        <w:r w:rsidR="001E4558" w:rsidRPr="001E45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P. J. Stein</w:t>
        </w:r>
      </w:hyperlink>
      <w:r w:rsidR="001E4558" w:rsidRPr="001E4558">
        <w:rPr>
          <w:rFonts w:ascii="Times New Roman" w:hAnsi="Times New Roman" w:cs="Times New Roman"/>
          <w:sz w:val="24"/>
          <w:szCs w:val="24"/>
        </w:rPr>
        <w:t>.</w:t>
      </w:r>
      <w:r w:rsidR="001E4558" w:rsidRPr="00131F2B">
        <w:rPr>
          <w:rFonts w:ascii="Times New Roman" w:hAnsi="Times New Roman" w:cs="Times New Roman"/>
          <w:sz w:val="24"/>
          <w:szCs w:val="24"/>
        </w:rPr>
        <w:t xml:space="preserve"> </w:t>
      </w:r>
      <w:r w:rsidR="00BD376D">
        <w:rPr>
          <w:rFonts w:ascii="Times New Roman" w:hAnsi="Times New Roman" w:cs="Times New Roman"/>
          <w:sz w:val="24"/>
          <w:szCs w:val="24"/>
        </w:rPr>
        <w:t xml:space="preserve">(2000). </w:t>
      </w:r>
      <w:r w:rsidR="001E4558" w:rsidRPr="00131F2B">
        <w:rPr>
          <w:rFonts w:ascii="Times New Roman" w:hAnsi="Times New Roman" w:cs="Times New Roman"/>
          <w:i/>
          <w:sz w:val="24"/>
          <w:szCs w:val="24"/>
        </w:rPr>
        <w:t>Sotsioloogia</w:t>
      </w:r>
      <w:r w:rsidR="00BD376D">
        <w:rPr>
          <w:rFonts w:ascii="Times New Roman" w:hAnsi="Times New Roman" w:cs="Times New Roman"/>
          <w:sz w:val="24"/>
          <w:szCs w:val="24"/>
        </w:rPr>
        <w:t>. Tallinn, Külim</w:t>
      </w:r>
      <w:r w:rsidR="001E4558" w:rsidRPr="00131F2B">
        <w:rPr>
          <w:rFonts w:ascii="Times New Roman" w:hAnsi="Times New Roman" w:cs="Times New Roman"/>
          <w:sz w:val="24"/>
          <w:szCs w:val="24"/>
        </w:rPr>
        <w:t>.</w:t>
      </w:r>
    </w:p>
    <w:p w:rsidR="001E4558" w:rsidRDefault="001E4558" w:rsidP="001E4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558" w:rsidRDefault="001E4558" w:rsidP="001E4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2B">
        <w:rPr>
          <w:rFonts w:ascii="Times New Roman" w:hAnsi="Times New Roman" w:cs="Times New Roman"/>
          <w:sz w:val="24"/>
          <w:szCs w:val="24"/>
        </w:rPr>
        <w:t xml:space="preserve">Berns, R. (2004). </w:t>
      </w:r>
      <w:r w:rsidRPr="00BD376D">
        <w:rPr>
          <w:rFonts w:ascii="Times New Roman" w:hAnsi="Times New Roman" w:cs="Times New Roman"/>
          <w:i/>
          <w:sz w:val="24"/>
          <w:szCs w:val="24"/>
        </w:rPr>
        <w:t>Child, Family, School, Community. Socialization and Support</w:t>
      </w:r>
      <w:r w:rsidRPr="00131F2B">
        <w:rPr>
          <w:rFonts w:ascii="Times New Roman" w:hAnsi="Times New Roman" w:cs="Times New Roman"/>
          <w:sz w:val="24"/>
          <w:szCs w:val="24"/>
        </w:rPr>
        <w:t>. Sixth Edition. Belmont: Thomson Learning.</w:t>
      </w:r>
    </w:p>
    <w:p w:rsidR="00BD376D" w:rsidRDefault="00BD376D" w:rsidP="001E4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6D" w:rsidRPr="00131F2B" w:rsidRDefault="00BD376D" w:rsidP="001E4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Wolff, J. (2005). </w:t>
      </w:r>
      <w:r w:rsidRPr="00BD376D">
        <w:rPr>
          <w:rFonts w:ascii="Times New Roman" w:hAnsi="Times New Roman" w:cs="Times New Roman"/>
          <w:i/>
          <w:sz w:val="24"/>
          <w:szCs w:val="24"/>
        </w:rPr>
        <w:t>Sissejuhatus poliitikafilosoofiasse</w:t>
      </w:r>
      <w:r>
        <w:rPr>
          <w:rFonts w:ascii="Times New Roman" w:hAnsi="Times New Roman" w:cs="Times New Roman"/>
          <w:sz w:val="24"/>
          <w:szCs w:val="24"/>
        </w:rPr>
        <w:t>. Tartu, Tartu Ülikooli Kirjastus.</w:t>
      </w:r>
    </w:p>
    <w:p w:rsidR="001E4558" w:rsidRPr="001E4558" w:rsidRDefault="001E4558" w:rsidP="001E4558">
      <w:pPr>
        <w:rPr>
          <w:rFonts w:ascii="Times New Roman" w:hAnsi="Times New Roman" w:cs="Times New Roman"/>
          <w:sz w:val="24"/>
          <w:szCs w:val="24"/>
        </w:rPr>
      </w:pPr>
    </w:p>
    <w:p w:rsidR="003E28B1" w:rsidRPr="003E28B1" w:rsidRDefault="003E28B1" w:rsidP="003E28B1">
      <w:pPr>
        <w:spacing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229F1" w:rsidRDefault="001229F1" w:rsidP="003E28B1">
      <w:pPr>
        <w:spacing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E165EB" w:rsidRPr="00E165EB" w:rsidRDefault="00E165EB" w:rsidP="003E2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165EB" w:rsidRPr="00E165EB" w:rsidSect="00E165EB">
      <w:pgSz w:w="11906" w:h="16838"/>
      <w:pgMar w:top="454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306B5"/>
    <w:multiLevelType w:val="hybridMultilevel"/>
    <w:tmpl w:val="E864D3D8"/>
    <w:lvl w:ilvl="0" w:tplc="A31004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830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A7C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EB5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A457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4D4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2D7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CB2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28A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F593C"/>
    <w:multiLevelType w:val="hybridMultilevel"/>
    <w:tmpl w:val="2ABCF364"/>
    <w:lvl w:ilvl="0" w:tplc="DE6689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A3A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E2C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0B0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21C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23F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244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0EF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48E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793D83"/>
    <w:multiLevelType w:val="hybridMultilevel"/>
    <w:tmpl w:val="3BAC8CC0"/>
    <w:lvl w:ilvl="0" w:tplc="1700BE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A17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88B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46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BCD5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00BF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86F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A18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679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EB"/>
    <w:rsid w:val="000138FE"/>
    <w:rsid w:val="00044250"/>
    <w:rsid w:val="000645B4"/>
    <w:rsid w:val="001229F1"/>
    <w:rsid w:val="001E4558"/>
    <w:rsid w:val="001F2498"/>
    <w:rsid w:val="00371D4B"/>
    <w:rsid w:val="003E28B1"/>
    <w:rsid w:val="00614429"/>
    <w:rsid w:val="006A6358"/>
    <w:rsid w:val="00840750"/>
    <w:rsid w:val="00980ACC"/>
    <w:rsid w:val="00996B0D"/>
    <w:rsid w:val="00A97F79"/>
    <w:rsid w:val="00BD376D"/>
    <w:rsid w:val="00E165EB"/>
    <w:rsid w:val="00EB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E28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1E45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E28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1E45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7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ollo.ee/catalogsearch/advanced/result/?autor=P.+J.+Stein" TargetMode="External"/><Relationship Id="rId13" Type="http://schemas.openxmlformats.org/officeDocument/2006/relationships/hyperlink" Target="https://www.apollo.ee/catalogsearch/advanced/result/?autor=E.+W.+Marks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pollo.ee/catalogsearch/advanced/result/?autor=E.+W.+Markson" TargetMode="External"/><Relationship Id="rId12" Type="http://schemas.openxmlformats.org/officeDocument/2006/relationships/hyperlink" Target="https://www.apollo.ee/catalogsearch/advanced/result/?autor=B.+B.+He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pollo.ee/catalogsearch/advanced/result/?autor=B.+B.+Hess" TargetMode="External"/><Relationship Id="rId11" Type="http://schemas.openxmlformats.org/officeDocument/2006/relationships/hyperlink" Target="https://www.apollo.ee/catalogsearch/advanced/result/?autor=P.+J.+Ste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pollo.ee/catalogsearch/advanced/result/?autor=E.+W.+Marks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ollo.ee/catalogsearch/advanced/result/?autor=B.+B.+Hess" TargetMode="External"/><Relationship Id="rId14" Type="http://schemas.openxmlformats.org/officeDocument/2006/relationships/hyperlink" Target="https://www.apollo.ee/catalogsearch/advanced/result/?autor=P.+J.+Stein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627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PYG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 SULA</dc:creator>
  <cp:lastModifiedBy>Peedu</cp:lastModifiedBy>
  <cp:revision>6</cp:revision>
  <dcterms:created xsi:type="dcterms:W3CDTF">2017-09-29T05:10:00Z</dcterms:created>
  <dcterms:modified xsi:type="dcterms:W3CDTF">2017-10-16T07:37:00Z</dcterms:modified>
</cp:coreProperties>
</file>